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 alimentação</w:t></w:r></w:p><w:p><w:pPr/><w:r><w:rPr><w:rFonts w:ascii="Calibri" w:hAnsi="Calibri" w:eastAsia="Calibri" w:cs="Calibri"/><w:sz w:val="22"/><w:szCs w:val="22"/></w:rPr><w:t xml:space="preserve">Para urinol VILLEROY & BOCH "Losange 7530"</w:t></w:r></w:p><w:p><w:pPr/><w:r><w:rPr><w:rFonts w:ascii="Calibri" w:hAnsi="Calibri" w:eastAsia="Calibri" w:cs="Calibri"/><w:sz w:val="22"/><w:szCs w:val="22"/></w:rPr><w:t xml:space="preserve">F1/2"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751753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Tubo de alimentação para urinol VILLEROY & BOCH "Losange 7530" com difusor.</w:t></w:r></w:p><w:p><w:pPr><w:spacing w:line="288" w:lineRule="auto"/></w:pPr><w:r><w:rPr><w:rFonts w:ascii="Calibri" w:hAnsi="Calibri" w:eastAsia="Calibri" w:cs="Calibri"/><w:sz w:val="22"/><w:szCs w:val="22"/></w:rPr><w:t xml:space="preserve">F1/2".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2025-07-22T02:07:30+02:00</dcterms:created>
  <dcterms:modified xsi:type="dcterms:W3CDTF">2025-07-22T02:07:30+02:00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