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Tubo de alimentação</w:t></w:r></w:p><w:p><w:pPr/><w:r><w:rPr><w:rFonts w:ascii="Calibri" w:hAnsi="Calibri" w:eastAsia="Calibri" w:cs="Calibri"/><w:sz w:val="22"/><w:szCs w:val="22"/></w:rPr><w:t xml:space="preserve">Para urinol VILLEROY & BOCH "Losange 7530"</w:t></w:r></w:p><w:p><w:pPr/><w:r><w:rPr><w:rFonts w:ascii="Calibri" w:hAnsi="Calibri" w:eastAsia="Calibri" w:cs="Calibri"/><w:sz w:val="22"/><w:szCs w:val="22"/></w:rPr><w:t xml:space="preserve">F1/2"</w:t></w:r></w:p><w:p/><w:p><w:pPr/><w:r><w:rPr><w:rFonts w:ascii="Calibri" w:hAnsi="Calibri" w:eastAsia="Calibri" w:cs="Calibri"/><w:sz w:val="22"/><w:szCs w:val="22"/></w:rPr><w:t xml:space="preserve">Referência: </w:t></w:r><w:r><w:rPr><w:rFonts w:ascii="Calibri" w:hAnsi="Calibri" w:eastAsia="Calibri" w:cs="Calibri"/><w:color w:val="0088bc"/><w:sz w:val="22"/><w:szCs w:val="22"/><w:b w:val="1"/><w:bCs w:val="1"/></w:rPr><w:t xml:space="preserve">751753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Info Prescrição</w:t></w:r></w:p><w:p/><w:p><w:pPr><w:spacing w:line="288" w:lineRule="auto"/></w:pPr><w:r><w:rPr><w:rFonts w:ascii="Calibri" w:hAnsi="Calibri" w:eastAsia="Calibri" w:cs="Calibri"/><w:sz w:val="22"/><w:szCs w:val="22"/></w:rPr><w:t xml:space="preserve">Tubo de alimentação para urinol VILLEROY & BOCH "Losange 7530" com difusor.</w:t></w:r></w:p><w:p><w:pPr><w:spacing w:line="288" w:lineRule="auto"/></w:pPr><w:r><w:rPr><w:rFonts w:ascii="Calibri" w:hAnsi="Calibri" w:eastAsia="Calibri" w:cs="Calibri"/><w:sz w:val="22"/><w:szCs w:val="22"/></w:rPr><w:t xml:space="preserve">F1/2".</w:t></w:r></w:p><w:p><w:pPr><w:spacing w:line="288" w:lineRule="auto"/></w:pPr><w:r><w:rPr><w:rFonts w:ascii="Calibri" w:hAnsi="Calibri" w:eastAsia="Calibri" w:cs="Calibri"/><w:sz w:val="22"/><w:szCs w:val="22"/></w:rPr><w:t xml:space="preserve">Garantia 30 anos.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2025-02-12T10:24:10+01:00</dcterms:created>
  <dcterms:modified xsi:type="dcterms:W3CDTF">2025-02-12T10:24:10+01:00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